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rPr>
      </w:pPr>
      <w:r w:rsidDel="00000000" w:rsidR="00000000" w:rsidRPr="00000000">
        <w:rPr>
          <w:b w:val="1"/>
          <w:color w:val="222222"/>
          <w:rtl w:val="0"/>
        </w:rPr>
        <w:t xml:space="preserve">Myron Ronay, 8/20/22</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We reviewed the data from this sample and are confident in our results.  Perhaps you are not aware of the Cannabis regulations within California.  When we sample batches for compliance testing we are required to pick a certain amount of random samples from the batch.  In this example we took 13 random units of 5 packs, therefore a total of 65 infused pre-rolls.  We homogenize the pre-rolls and then randomly sample for potency from the entire homogenous mix.  Naturally there are variances between each pre-roll, the goal of the testing regulations is to find the medium.  These pre-rolls are infused with THCA Diamonds and Live Resin.  The potencies from our competitor labs do not seem accurate for a product that is infused in this manner.  In fact, our results line up with a product that is infused.   BelCosta Labs has been testing Cannabis since 2018 and we have spent many years developing, improving and studying not only our potency method but all methods.   Our methods have been validated, audited, reviewed and approved by the DCC and our ISO Accreditation body A2LA.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While I do believe there is a significant amount of potency inflation in both flower and distillate occurring in our industry, this is not an example.  The state requirement is for us to test the product as a whole not as an individual.    We would be happy to test a random sample for you but it is still not an apple to apples comparison of Compliance testing.  I have been very outspoken about the potency inflation in our industry and would be happy to contribute to help solve the issues.  </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