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Per the </w:t>
      </w:r>
      <w:hyperlink r:id="rId6">
        <w:r w:rsidDel="00000000" w:rsidR="00000000" w:rsidRPr="00000000">
          <w:rPr>
            <w:color w:val="1155cc"/>
            <w:u w:val="single"/>
            <w:rtl w:val="0"/>
          </w:rPr>
          <w:t xml:space="preserve">DCC's regs</w:t>
        </w:r>
      </w:hyperlink>
      <w:r w:rsidDel="00000000" w:rsidR="00000000" w:rsidRPr="00000000">
        <w:rPr>
          <w:color w:val="222222"/>
          <w:rtl w:val="0"/>
        </w:rPr>
        <w:t xml:space="preserve">, here is the formula to determine 'dry' weight cannabinoid values:</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rFonts w:ascii="Arial Unicode MS" w:cs="Arial Unicode MS" w:eastAsia="Arial Unicode MS" w:hAnsi="Arial Unicode MS"/>
          <w:color w:val="222222"/>
          <w:rtl w:val="0"/>
        </w:rPr>
        <w:t xml:space="preserve">Dry-weight percent cannabinoid = wet-weight percent cannabinoid / (1 − percent moisture / 100)  </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In this case, Landau reported dry weight values and Anresco reported wet weight values (due to limitations with the sample provided).  To make an apples to apples comparison, it would be best to back out of Landau's dry weight values and compare wet weight values for both.</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Landau: 46.179% THC = Wet Weight x (1 - 14.6/100)    Wet Weight = 46.179% THC x 0.854 = 39.437% THC (wet)</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Anresco: 23.47% THC (wet)</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b w:val="1"/>
          <w:color w:val="222222"/>
        </w:rPr>
      </w:pPr>
      <w:r w:rsidDel="00000000" w:rsidR="00000000" w:rsidRPr="00000000">
        <w:rPr>
          <w:color w:val="222222"/>
          <w:rtl w:val="0"/>
        </w:rPr>
        <w:t xml:space="preserve">Difference = (39.437 / 23.47) -1 = </w:t>
      </w:r>
      <w:r w:rsidDel="00000000" w:rsidR="00000000" w:rsidRPr="00000000">
        <w:rPr>
          <w:b w:val="1"/>
          <w:color w:val="222222"/>
          <w:rtl w:val="0"/>
        </w:rPr>
        <w:t xml:space="preserve">68.03%</w:t>
      </w:r>
    </w:p>
    <w:p w:rsidR="00000000" w:rsidDel="00000000" w:rsidP="00000000" w:rsidRDefault="00000000" w:rsidRPr="00000000" w14:paraId="0000000C">
      <w:pPr>
        <w:shd w:fill="ffffff" w:val="clear"/>
        <w:rPr>
          <w:b w:val="1"/>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So comparing apples to apples, Landau's results were still over 68% higher than what we found in the store bought sample.  A huge difference.</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Again, there are certainly limitations to what one can extrapolate from one comparison experiment where we're not testing the same sample or performing the test at the same time.  But at some point the difference is vast enough that one can reasonably infer there is likely a problem.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Zachary Eisenberg, VP, Anresco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sidekickopen60.com/s3t/c/5/f18dQhb0S7kF8bGjqWVCKdLr59hl3kW7_k2841CX7RyW1mlGfG2R1Bj4V3jK7b84gR1b103?te=W3R5hFj4cm2zwW3F4FzY3z7ZCBW1JxvHz3P4GXfW4mGK2L43TDjDW41YsCp45RkqNW3HbB4V3T3QRrW1L6zxY1N56cyW1Q2RCn2sKzw9W3zdZLw3C9rhhW30B0jf3ZSzDZW43TDbS32yzC4W1J5YXP1S1Pwg38_q2&amp;si=8000000000085751&amp;pi=394103ad-3466-4fab-8358-1ef6b3bf7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